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21" w:type="dxa"/>
        <w:tblLook w:val="04A0" w:firstRow="1" w:lastRow="0" w:firstColumn="1" w:lastColumn="0" w:noHBand="0" w:noVBand="1"/>
      </w:tblPr>
      <w:tblGrid>
        <w:gridCol w:w="1347"/>
        <w:gridCol w:w="8574"/>
      </w:tblGrid>
      <w:tr w:rsidR="002941A0"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_GoBack"/>
          <w:bookmarkEnd w:id="0"/>
          <w:p w:rsidR="002941A0" w:rsidRDefault="00945E3A">
            <w:pPr>
              <w:spacing w:before="40" w:after="4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object w:dxaOrig="1130" w:dyaOrig="1640">
                <v:shape id="ole_rId2" o:spid="_x0000_i1025" style="width:56.25pt;height:81.75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13" ShapeID="ole_rId2" DrawAspect="Content" ObjectID="_1735638149" r:id="rId6"/>
              </w:object>
            </w:r>
          </w:p>
        </w:tc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1A0" w:rsidRDefault="00945E3A">
            <w:pPr>
              <w:spacing w:line="320" w:lineRule="atLeast"/>
              <w:jc w:val="center"/>
              <w:rPr>
                <w:rFonts w:ascii="Cambria" w:hAnsi="Cambria"/>
                <w:b/>
                <w:color w:val="80292A"/>
                <w:spacing w:val="30"/>
                <w:sz w:val="32"/>
                <w:szCs w:val="32"/>
              </w:rPr>
            </w:pPr>
            <w:r>
              <w:rPr>
                <w:rFonts w:ascii="Cambria" w:eastAsiaTheme="minorHAnsi" w:hAnsi="Cambria" w:cstheme="minorBidi"/>
                <w:b/>
                <w:color w:val="80292A"/>
                <w:spacing w:val="30"/>
                <w:sz w:val="32"/>
                <w:szCs w:val="32"/>
                <w:lang w:eastAsia="en-US"/>
              </w:rPr>
              <w:t>ZWIĄZEK  NAUCZYCIELSTWA  POLSKIEGO</w:t>
            </w:r>
          </w:p>
          <w:p w:rsidR="002941A0" w:rsidRDefault="00945E3A">
            <w:pPr>
              <w:spacing w:line="320" w:lineRule="atLeast"/>
              <w:jc w:val="center"/>
              <w:rPr>
                <w:rFonts w:ascii="Cambria" w:hAnsi="Cambria"/>
                <w:b/>
                <w:color w:val="80292A"/>
                <w:spacing w:val="30"/>
                <w:sz w:val="28"/>
                <w:szCs w:val="28"/>
              </w:rPr>
            </w:pPr>
            <w:r>
              <w:rPr>
                <w:rFonts w:ascii="Cambria" w:eastAsiaTheme="minorHAnsi" w:hAnsi="Cambria" w:cstheme="minorBidi"/>
                <w:b/>
                <w:color w:val="80292A"/>
                <w:spacing w:val="30"/>
                <w:sz w:val="28"/>
                <w:szCs w:val="28"/>
                <w:lang w:eastAsia="en-US"/>
              </w:rPr>
              <w:t>Rok  założenia 1905</w:t>
            </w:r>
          </w:p>
          <w:p w:rsidR="002941A0" w:rsidRDefault="00945E3A">
            <w:pPr>
              <w:spacing w:line="320" w:lineRule="atLeast"/>
              <w:jc w:val="center"/>
              <w:rPr>
                <w:rFonts w:ascii="Cambria" w:hAnsi="Cambria"/>
                <w:b/>
                <w:color w:val="80292A"/>
                <w:spacing w:val="30"/>
                <w:sz w:val="32"/>
                <w:szCs w:val="32"/>
              </w:rPr>
            </w:pPr>
            <w:r>
              <w:rPr>
                <w:rFonts w:ascii="Cambria" w:eastAsiaTheme="minorHAnsi" w:hAnsi="Cambria" w:cstheme="minorBidi"/>
                <w:b/>
                <w:color w:val="80292A"/>
                <w:spacing w:val="30"/>
                <w:sz w:val="32"/>
                <w:szCs w:val="32"/>
                <w:lang w:eastAsia="en-US"/>
              </w:rPr>
              <w:t>RADA SZKOLNICTWA WYŻSZEGO I NAUKI</w:t>
            </w:r>
          </w:p>
          <w:p w:rsidR="002941A0" w:rsidRDefault="00945E3A">
            <w:pPr>
              <w:spacing w:line="320" w:lineRule="atLeast"/>
              <w:jc w:val="center"/>
              <w:rPr>
                <w:rFonts w:ascii="Cambria" w:hAnsi="Cambria"/>
                <w:b/>
                <w:spacing w:val="30"/>
              </w:rPr>
            </w:pPr>
            <w:r>
              <w:rPr>
                <w:rFonts w:ascii="Cambria" w:eastAsiaTheme="minorHAnsi" w:hAnsi="Cambria" w:cstheme="minorBidi"/>
                <w:b/>
                <w:spacing w:val="30"/>
                <w:szCs w:val="22"/>
                <w:lang w:eastAsia="en-US"/>
              </w:rPr>
              <w:t>ul. Juliana Smulikowskiego 6/8, pok. 308, 00-389 Warszawa</w:t>
            </w:r>
          </w:p>
          <w:p w:rsidR="002941A0" w:rsidRDefault="00945E3A">
            <w:pPr>
              <w:spacing w:line="320" w:lineRule="atLeast"/>
              <w:jc w:val="center"/>
              <w:rPr>
                <w:rFonts w:ascii="Cambria" w:hAnsi="Cambria"/>
                <w:lang w:val="de-DE"/>
              </w:rPr>
            </w:pPr>
            <w:r>
              <w:rPr>
                <w:rFonts w:ascii="Cambria" w:eastAsiaTheme="minorHAnsi" w:hAnsi="Cambria" w:cstheme="minorBidi"/>
                <w:b/>
                <w:spacing w:val="30"/>
                <w:szCs w:val="22"/>
                <w:lang w:val="de-DE" w:eastAsia="en-US"/>
              </w:rPr>
              <w:t>tel. 22 318 92 98,  e-mail: rszwin@znp.edu.pl</w:t>
            </w:r>
          </w:p>
        </w:tc>
      </w:tr>
    </w:tbl>
    <w:p w:rsidR="002941A0" w:rsidRDefault="00945E3A">
      <w:pPr>
        <w:spacing w:line="320" w:lineRule="atLeast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Warszawa, 16 stycznia 2023 </w:t>
      </w:r>
      <w:r>
        <w:rPr>
          <w:rFonts w:ascii="Cambria" w:hAnsi="Cambria"/>
          <w:sz w:val="22"/>
          <w:szCs w:val="22"/>
        </w:rPr>
        <w:t>roku</w:t>
      </w:r>
    </w:p>
    <w:p w:rsidR="002941A0" w:rsidRDefault="00945E3A">
      <w:pPr>
        <w:spacing w:line="32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Komunikat  </w:t>
      </w:r>
    </w:p>
    <w:p w:rsidR="002941A0" w:rsidRDefault="00945E3A">
      <w:pPr>
        <w:spacing w:line="32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Rady Szkolnictwa Wyższego i Nauki </w:t>
      </w:r>
    </w:p>
    <w:p w:rsidR="002941A0" w:rsidRDefault="00945E3A">
      <w:pPr>
        <w:spacing w:line="32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Związku Nauczycielstwa Polskiego</w:t>
      </w:r>
    </w:p>
    <w:p w:rsidR="002941A0" w:rsidRDefault="00945E3A">
      <w:pPr>
        <w:spacing w:before="2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Rada Szkolnictwa Wyższego i Nauki Związku Nauczycielstwa Polskiego podjęła decyzję </w:t>
      </w:r>
      <w:r>
        <w:rPr>
          <w:rFonts w:ascii="Cambria" w:hAnsi="Cambria"/>
          <w:b/>
          <w:sz w:val="22"/>
          <w:szCs w:val="22"/>
        </w:rPr>
        <w:br/>
        <w:t>o kontynuacji akcji protestacyjnej</w:t>
      </w:r>
      <w:r>
        <w:rPr>
          <w:rFonts w:ascii="Cambria" w:hAnsi="Cambria"/>
          <w:b/>
          <w:i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na rzecz wzrostu wynagrodzeń wszystkich grup pracown</w:t>
      </w:r>
      <w:r>
        <w:rPr>
          <w:rFonts w:ascii="Cambria" w:hAnsi="Cambria"/>
          <w:b/>
          <w:sz w:val="22"/>
          <w:szCs w:val="22"/>
        </w:rPr>
        <w:t xml:space="preserve">ików uczelni i instytutów badawczych rozpoczętej w listopadzie 2021 r. Nasz protest zmusił rządzących do podjęcia pewnych działań, jednak są one zdecydowanie niewystarczające zarówno w odniesieniu do zobowiązań przyjętych w czasie wprowadzania ustawy </w:t>
      </w:r>
      <w:r>
        <w:rPr>
          <w:rFonts w:ascii="Cambria" w:hAnsi="Cambria"/>
          <w:b/>
          <w:i/>
          <w:iCs/>
          <w:sz w:val="22"/>
          <w:szCs w:val="22"/>
        </w:rPr>
        <w:t>Prawo</w:t>
      </w:r>
      <w:r>
        <w:rPr>
          <w:rFonts w:ascii="Cambria" w:hAnsi="Cambria"/>
          <w:b/>
          <w:i/>
          <w:iCs/>
          <w:sz w:val="22"/>
          <w:szCs w:val="22"/>
        </w:rPr>
        <w:t xml:space="preserve"> o szkolnictwie wyższym i nauce</w:t>
      </w:r>
      <w:r>
        <w:rPr>
          <w:rFonts w:ascii="Cambria" w:hAnsi="Cambria"/>
          <w:b/>
          <w:sz w:val="22"/>
          <w:szCs w:val="22"/>
        </w:rPr>
        <w:t>, jak i w stosunku do poziomu inflacji.</w:t>
      </w:r>
    </w:p>
    <w:p w:rsidR="002941A0" w:rsidRDefault="00945E3A">
      <w:pPr>
        <w:spacing w:before="240" w:after="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Podniesienie nominalnych wynagrodzeń zasadniczych średnio o 4,4 % od października 2022 r. to </w:t>
      </w:r>
      <w:r>
        <w:rPr>
          <w:rFonts w:ascii="Cambria" w:hAnsi="Cambria"/>
          <w:sz w:val="22"/>
          <w:szCs w:val="22"/>
        </w:rPr>
        <w:br/>
        <w:t>w praktyce kilkunastoprocentowy spadek płacy realnej znacznej większości pracowników szkoln</w:t>
      </w:r>
      <w:r>
        <w:rPr>
          <w:rFonts w:ascii="Cambria" w:hAnsi="Cambria"/>
          <w:sz w:val="22"/>
          <w:szCs w:val="22"/>
        </w:rPr>
        <w:t xml:space="preserve">ictwa wyższego i nauki w 2022 r. Planowany od stycznia 2023 r. wzrost wynagrodzeń zasadniczych o 7,8 % –ponownie wyraźnie poniżej poziomu inflacji – to zapowiedź kolejnego roku spadku płacy realnej. </w:t>
      </w:r>
    </w:p>
    <w:p w:rsidR="002941A0" w:rsidRDefault="00945E3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Jedynie najniżej zarabiający pracownicy mogą liczyć na w</w:t>
      </w:r>
      <w:r>
        <w:rPr>
          <w:rFonts w:ascii="Cambria" w:hAnsi="Cambria"/>
          <w:sz w:val="22"/>
          <w:szCs w:val="22"/>
        </w:rPr>
        <w:t xml:space="preserve">zględne nadążanie ich wynagrodzeń za rosnącymi cenami, dzięki podniesieniu ogólnie obowiązującego minimalnego wynagrodzenia za pracę. </w:t>
      </w:r>
    </w:p>
    <w:p w:rsidR="002941A0" w:rsidRDefault="00945E3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Hańbą jest</w:t>
      </w:r>
      <w:r>
        <w:rPr>
          <w:rFonts w:ascii="Cambria" w:hAnsi="Cambria"/>
          <w:sz w:val="22"/>
          <w:szCs w:val="22"/>
        </w:rPr>
        <w:t>, że coraz większa liczba pracowników uczelni i instytutów badawczych, zatrudnianych na różnych stanowiskach, o</w:t>
      </w:r>
      <w:r>
        <w:rPr>
          <w:rFonts w:ascii="Cambria" w:hAnsi="Cambria"/>
          <w:sz w:val="22"/>
          <w:szCs w:val="22"/>
        </w:rPr>
        <w:t xml:space="preserve">trzymuje wynagrodzenia na poziomie płacy minimalnej. </w:t>
      </w:r>
    </w:p>
    <w:p w:rsidR="002941A0" w:rsidRDefault="00945E3A">
      <w:pPr>
        <w:spacing w:after="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Hańbą jest</w:t>
      </w:r>
      <w:r>
        <w:rPr>
          <w:rFonts w:ascii="Cambria" w:hAnsi="Cambria"/>
          <w:sz w:val="22"/>
          <w:szCs w:val="22"/>
        </w:rPr>
        <w:t xml:space="preserve">, że minimalne wynagrodzenie nauczycieli akademickich – waloryzowane po raz pierwszy od 2018 r. – podniesiono jedynie o taką stawkę, by nauczyciele zatrudnieni na stanowisku asystenta nie znaleźli się poniżej minimalnego wynagrodzenia za pracę. </w:t>
      </w:r>
    </w:p>
    <w:p w:rsidR="002941A0" w:rsidRDefault="00945E3A">
      <w:pPr>
        <w:spacing w:after="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2018 r. </w:t>
      </w:r>
      <w:r>
        <w:rPr>
          <w:rFonts w:ascii="Cambria" w:hAnsi="Cambria"/>
          <w:sz w:val="22"/>
          <w:szCs w:val="22"/>
        </w:rPr>
        <w:t>minimalne wynagrodzenie profesora, od którego poziomu naliczane są stawki minimalne zarówno innych, niżej opłacanych nauczycieli akademickich, jak i doktorantów, przekraczało trzykrotność minimalnego wynagrodzenia za pracę. Od lipca 2023 r. stanowić ma tyl</w:t>
      </w:r>
      <w:r>
        <w:rPr>
          <w:rFonts w:ascii="Cambria" w:hAnsi="Cambria"/>
          <w:sz w:val="22"/>
          <w:szCs w:val="22"/>
        </w:rPr>
        <w:t xml:space="preserve">ko wartość bliską jego dwukrotności. Oznacza to, że minimalne wynagrodzenie nauczyciela akademickiego zatrudnionego na stanowisku asystenta znajdzie się na poziomie o 5 zł (słownie: pięć złotych) przekraczającym minimalne wynagrodzenie za pracę. </w:t>
      </w:r>
    </w:p>
    <w:p w:rsidR="002941A0" w:rsidRDefault="00945E3A">
      <w:pPr>
        <w:spacing w:after="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Zdecydowa</w:t>
      </w:r>
      <w:r>
        <w:rPr>
          <w:rFonts w:ascii="Cambria" w:hAnsi="Cambria"/>
          <w:sz w:val="22"/>
          <w:szCs w:val="22"/>
        </w:rPr>
        <w:t>nie niewystarczająca odpowiedź rządzących na nasz protest, kontynuacja tendencji spadkowej w odniesieniu do płacy realnej pracowników uczelni i instytutów badawczych (zarówno nauczycieli, jak i nienauczycieli), oznacza pogłębianie się postępującej degradac</w:t>
      </w:r>
      <w:r>
        <w:rPr>
          <w:rFonts w:ascii="Cambria" w:hAnsi="Cambria"/>
          <w:sz w:val="22"/>
          <w:szCs w:val="22"/>
        </w:rPr>
        <w:t xml:space="preserve">ji szkolnictwa wyższego i nauki. Coraz więcej obciążeń i praktyk dyscyplinowania w korporacyjnym stylu przy relatywnie coraz niższych wynagrodzeniach </w:t>
      </w:r>
      <w:r>
        <w:rPr>
          <w:rFonts w:ascii="Cambria" w:hAnsi="Cambria"/>
          <w:sz w:val="22"/>
          <w:szCs w:val="22"/>
        </w:rPr>
        <w:lastRenderedPageBreak/>
        <w:t xml:space="preserve">– to trend niezmienny od lat. To narastająca bieda na uczelniach, związane z tym odchodzenie części kadry </w:t>
      </w:r>
      <w:r>
        <w:rPr>
          <w:rFonts w:ascii="Cambria" w:hAnsi="Cambria"/>
          <w:sz w:val="22"/>
          <w:szCs w:val="22"/>
        </w:rPr>
        <w:t xml:space="preserve">i wyraźnie widoczna luka pokoleniowa, przekładają się dzisiaj na jakość nauczania i prowadzonych badań naukowych. </w:t>
      </w:r>
    </w:p>
    <w:p w:rsidR="002941A0" w:rsidRDefault="00945E3A">
      <w:pPr>
        <w:spacing w:line="280" w:lineRule="atLeast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Oczywiste jest więc, że nasz protest musi być kontynuowany – bądźmy gotowi na dalsze działania! Żądamy realnych podwyżek wynagrodzeń we wszys</w:t>
      </w:r>
      <w:r>
        <w:rPr>
          <w:rFonts w:ascii="Cambria" w:hAnsi="Cambria"/>
          <w:b/>
          <w:sz w:val="22"/>
          <w:szCs w:val="22"/>
        </w:rPr>
        <w:t xml:space="preserve">tkich grupach pracowniczych i zmian systemowych odwracających politykę wieloletniego głodzenia szkolnictwa wyższego i nauki!  </w:t>
      </w:r>
    </w:p>
    <w:p w:rsidR="002941A0" w:rsidRDefault="002941A0">
      <w:pPr>
        <w:spacing w:line="280" w:lineRule="atLeast"/>
        <w:jc w:val="both"/>
        <w:rPr>
          <w:rFonts w:ascii="Cambria" w:hAnsi="Cambria"/>
          <w:sz w:val="22"/>
          <w:szCs w:val="22"/>
        </w:rPr>
      </w:pPr>
    </w:p>
    <w:p w:rsidR="002941A0" w:rsidRDefault="002941A0">
      <w:pPr>
        <w:jc w:val="both"/>
        <w:rPr>
          <w:rFonts w:ascii="Cambria" w:eastAsia="Calibri" w:hAnsi="Cambria" w:cstheme="minorHAnsi"/>
        </w:rPr>
      </w:pPr>
    </w:p>
    <w:p w:rsidR="002941A0" w:rsidRDefault="00945E3A">
      <w:pPr>
        <w:spacing w:line="280" w:lineRule="atLeast"/>
        <w:ind w:left="5529"/>
        <w:jc w:val="center"/>
        <w:rPr>
          <w:rFonts w:ascii="Cambria" w:hAnsi="Cambria"/>
        </w:rPr>
      </w:pPr>
      <w:r>
        <w:rPr>
          <w:rFonts w:ascii="Cambria" w:hAnsi="Cambria"/>
        </w:rPr>
        <w:t>Przewodnicząca Ogólnopolskiego Komitetu Protestacyjnego RSzWiN ZNP</w:t>
      </w:r>
    </w:p>
    <w:p w:rsidR="002941A0" w:rsidRDefault="002941A0">
      <w:pPr>
        <w:spacing w:line="280" w:lineRule="atLeast"/>
        <w:ind w:left="5529"/>
        <w:jc w:val="center"/>
        <w:rPr>
          <w:rFonts w:ascii="Cambria" w:hAnsi="Cambria"/>
        </w:rPr>
      </w:pPr>
    </w:p>
    <w:p w:rsidR="002941A0" w:rsidRDefault="00945E3A">
      <w:pPr>
        <w:spacing w:line="280" w:lineRule="atLeast"/>
        <w:ind w:left="5529"/>
        <w:jc w:val="center"/>
      </w:pPr>
      <w:r>
        <w:rPr>
          <w:rFonts w:ascii="Cambria" w:hAnsi="Cambria"/>
        </w:rPr>
        <w:t>/-/ Aneta Trojanowska</w:t>
      </w:r>
    </w:p>
    <w:sectPr w:rsidR="002941A0">
      <w:pgSz w:w="11906" w:h="16838"/>
      <w:pgMar w:top="567" w:right="851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A0"/>
    <w:rsid w:val="002941A0"/>
    <w:rsid w:val="009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114F7-9D36-49A1-8F15-D5EC0619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BE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qFormat/>
    <w:rsid w:val="003D612A"/>
    <w:pPr>
      <w:keepNext/>
      <w:tabs>
        <w:tab w:val="left" w:pos="4500"/>
      </w:tabs>
      <w:jc w:val="both"/>
      <w:outlineLvl w:val="1"/>
    </w:pPr>
    <w:rPr>
      <w:rFonts w:ascii="Arial" w:hAnsi="Arial" w:cs="Arial"/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75B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554DE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0A91"/>
    <w:rPr>
      <w:rFonts w:ascii="Tahoma" w:eastAsia="Times New Roman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2A768B"/>
    <w:rPr>
      <w:color w:val="0000FF" w:themeColor="hyperlink"/>
      <w:u w:val="single"/>
    </w:rPr>
  </w:style>
  <w:style w:type="character" w:customStyle="1" w:styleId="lead">
    <w:name w:val="lead"/>
    <w:basedOn w:val="Domylnaczcionkaakapitu"/>
    <w:qFormat/>
    <w:rsid w:val="00906810"/>
  </w:style>
  <w:style w:type="paragraph" w:styleId="Nagwek">
    <w:name w:val="header"/>
    <w:basedOn w:val="Normalny"/>
    <w:next w:val="Tekstpodstawowy"/>
    <w:link w:val="NagwekZnak"/>
    <w:unhideWhenUsed/>
    <w:rsid w:val="00775BE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western1">
    <w:name w:val="western1"/>
    <w:basedOn w:val="Normalny"/>
    <w:qFormat/>
    <w:rsid w:val="00D47A82"/>
    <w:pPr>
      <w:spacing w:beforeAutospacing="1" w:after="119"/>
    </w:pPr>
  </w:style>
  <w:style w:type="paragraph" w:customStyle="1" w:styleId="wcicie-tekstu-western1">
    <w:name w:val="wcięcie-tekstu-western1"/>
    <w:basedOn w:val="Normalny"/>
    <w:qFormat/>
    <w:rsid w:val="00BA5A3D"/>
    <w:pPr>
      <w:spacing w:beforeAutospacing="1" w:after="119"/>
      <w:ind w:left="284"/>
    </w:pPr>
  </w:style>
  <w:style w:type="paragraph" w:styleId="Stopka">
    <w:name w:val="footer"/>
    <w:basedOn w:val="Normalny"/>
    <w:rsid w:val="003D612A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ny"/>
    <w:qFormat/>
    <w:rsid w:val="003D612A"/>
    <w:pPr>
      <w:spacing w:beforeAutospacing="1"/>
      <w:jc w:val="both"/>
    </w:pPr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4131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0A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415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B47DF-544D-468E-9476-6376BCD0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Częstochowa, 23</vt:lpstr>
    </vt:vector>
  </TitlesOfParts>
  <Company>PCz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Częstochowa, 23</dc:title>
  <dc:subject/>
  <dc:creator>RSzWiN</dc:creator>
  <dc:description/>
  <cp:lastModifiedBy>Jan Piotrowski</cp:lastModifiedBy>
  <cp:revision>2</cp:revision>
  <cp:lastPrinted>2020-01-10T06:33:00Z</cp:lastPrinted>
  <dcterms:created xsi:type="dcterms:W3CDTF">2023-01-19T11:56:00Z</dcterms:created>
  <dcterms:modified xsi:type="dcterms:W3CDTF">2023-01-19T11:56:00Z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PCz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